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6F" w:rsidRDefault="000F376F"/>
    <w:p w:rsidR="00C420E9" w:rsidRPr="00C420E9" w:rsidRDefault="00C420E9" w:rsidP="00C420E9">
      <w:pPr>
        <w:jc w:val="center"/>
        <w:rPr>
          <w:b/>
          <w:i w:val="0"/>
        </w:rPr>
      </w:pPr>
      <w:r>
        <w:rPr>
          <w:b/>
          <w:i w:val="0"/>
        </w:rPr>
        <w:t>Budżet LSR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1242"/>
        <w:gridCol w:w="992"/>
        <w:gridCol w:w="1031"/>
        <w:gridCol w:w="1036"/>
        <w:gridCol w:w="1072"/>
        <w:gridCol w:w="1203"/>
      </w:tblGrid>
      <w:tr w:rsidR="00C420E9" w:rsidRPr="003814E9" w:rsidTr="00865814">
        <w:tc>
          <w:tcPr>
            <w:tcW w:w="2711" w:type="dxa"/>
            <w:vMerge w:val="restart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Zakres</w:t>
            </w:r>
            <w:proofErr w:type="spellEnd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wsparcia</w:t>
            </w:r>
            <w:proofErr w:type="spellEnd"/>
          </w:p>
        </w:tc>
        <w:tc>
          <w:tcPr>
            <w:tcW w:w="6917" w:type="dxa"/>
            <w:gridSpan w:val="6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Wsparcie</w:t>
            </w:r>
            <w:proofErr w:type="spellEnd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finansowe</w:t>
            </w:r>
            <w:proofErr w:type="spellEnd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 xml:space="preserve"> (</w:t>
            </w: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EUR</w:t>
            </w: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)</w:t>
            </w:r>
          </w:p>
        </w:tc>
      </w:tr>
      <w:tr w:rsidR="00C420E9" w:rsidRPr="003814E9" w:rsidTr="00865814">
        <w:trPr>
          <w:trHeight w:val="57"/>
        </w:trPr>
        <w:tc>
          <w:tcPr>
            <w:tcW w:w="2711" w:type="dxa"/>
            <w:vMerge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PROW</w:t>
            </w:r>
          </w:p>
        </w:tc>
        <w:tc>
          <w:tcPr>
            <w:tcW w:w="2165" w:type="dxa"/>
            <w:gridSpan w:val="2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RPO</w:t>
            </w:r>
          </w:p>
        </w:tc>
        <w:tc>
          <w:tcPr>
            <w:tcW w:w="1083" w:type="dxa"/>
            <w:vMerge w:val="restart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PO RYBY</w:t>
            </w:r>
          </w:p>
        </w:tc>
        <w:tc>
          <w:tcPr>
            <w:tcW w:w="1083" w:type="dxa"/>
            <w:vMerge w:val="restart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Fundusz</w:t>
            </w:r>
            <w:proofErr w:type="spellEnd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wiodący</w:t>
            </w:r>
            <w:proofErr w:type="spellEnd"/>
          </w:p>
        </w:tc>
        <w:tc>
          <w:tcPr>
            <w:tcW w:w="1269" w:type="dxa"/>
            <w:vMerge w:val="restart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Razem</w:t>
            </w:r>
            <w:proofErr w:type="spellEnd"/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 xml:space="preserve"> EFSI</w:t>
            </w:r>
          </w:p>
        </w:tc>
      </w:tr>
      <w:tr w:rsidR="00C420E9" w:rsidRPr="003814E9" w:rsidTr="00865814">
        <w:tc>
          <w:tcPr>
            <w:tcW w:w="2711" w:type="dxa"/>
            <w:vMerge/>
            <w:shd w:val="clear" w:color="auto" w:fill="FFFF99"/>
          </w:tcPr>
          <w:p w:rsidR="00C420E9" w:rsidRPr="003814E9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C420E9" w:rsidRPr="003814E9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EFS</w:t>
            </w:r>
          </w:p>
        </w:tc>
        <w:tc>
          <w:tcPr>
            <w:tcW w:w="1083" w:type="dxa"/>
            <w:shd w:val="clear" w:color="auto" w:fill="D5DCE4"/>
            <w:vAlign w:val="center"/>
          </w:tcPr>
          <w:p w:rsidR="00C420E9" w:rsidRPr="003814E9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3814E9">
              <w:rPr>
                <w:rFonts w:eastAsia="Calibri"/>
                <w:b/>
                <w:i w:val="0"/>
                <w:sz w:val="22"/>
                <w:szCs w:val="22"/>
              </w:rPr>
              <w:t>EFRR</w:t>
            </w:r>
          </w:p>
        </w:tc>
        <w:tc>
          <w:tcPr>
            <w:tcW w:w="1083" w:type="dxa"/>
            <w:vMerge/>
          </w:tcPr>
          <w:p w:rsidR="00C420E9" w:rsidRPr="003814E9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C420E9" w:rsidRPr="003814E9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420E9" w:rsidRPr="003814E9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</w:tr>
      <w:tr w:rsidR="00C420E9" w:rsidRPr="003814E9" w:rsidTr="00865814">
        <w:trPr>
          <w:trHeight w:val="737"/>
        </w:trPr>
        <w:tc>
          <w:tcPr>
            <w:tcW w:w="2711" w:type="dxa"/>
            <w:shd w:val="clear" w:color="auto" w:fill="F2F2F2"/>
          </w:tcPr>
          <w:p w:rsidR="00C420E9" w:rsidRPr="003814E9" w:rsidRDefault="00C420E9" w:rsidP="0086581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 w:val="0"/>
                <w:color w:val="00000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>Realizacja</w:t>
            </w:r>
            <w:proofErr w:type="spellEnd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 xml:space="preserve"> LSR </w:t>
            </w:r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(art. 35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ust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. 1 lit. b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rozporządzenia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br/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nr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 1303/2013)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1 447 500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1 447 500</w:t>
            </w:r>
          </w:p>
        </w:tc>
      </w:tr>
      <w:tr w:rsidR="00C420E9" w:rsidRPr="003814E9" w:rsidTr="00865814">
        <w:trPr>
          <w:trHeight w:val="737"/>
        </w:trPr>
        <w:tc>
          <w:tcPr>
            <w:tcW w:w="2711" w:type="dxa"/>
            <w:shd w:val="clear" w:color="auto" w:fill="F2F2F2"/>
          </w:tcPr>
          <w:p w:rsidR="00C420E9" w:rsidRPr="003814E9" w:rsidRDefault="00C420E9" w:rsidP="0086581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 w:val="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bCs/>
                <w:i w:val="0"/>
                <w:sz w:val="22"/>
                <w:szCs w:val="22"/>
              </w:rPr>
              <w:t>Współpraca</w:t>
            </w:r>
            <w:proofErr w:type="spellEnd"/>
            <w:r w:rsidRPr="003814E9">
              <w:rPr>
                <w:rFonts w:eastAsia="Calibri"/>
                <w:b/>
                <w:bCs/>
                <w:i w:val="0"/>
                <w:sz w:val="22"/>
                <w:szCs w:val="22"/>
              </w:rPr>
              <w:t xml:space="preserve"> </w:t>
            </w:r>
            <w:r w:rsidRPr="003814E9">
              <w:rPr>
                <w:rFonts w:eastAsia="Calibri"/>
                <w:i w:val="0"/>
                <w:sz w:val="22"/>
                <w:szCs w:val="22"/>
              </w:rPr>
              <w:t xml:space="preserve">(art. 35 </w:t>
            </w:r>
            <w:proofErr w:type="spellStart"/>
            <w:r w:rsidRPr="003814E9">
              <w:rPr>
                <w:rFonts w:eastAsia="Calibri"/>
                <w:i w:val="0"/>
                <w:sz w:val="22"/>
                <w:szCs w:val="22"/>
              </w:rPr>
              <w:t>ust</w:t>
            </w:r>
            <w:proofErr w:type="spellEnd"/>
            <w:r w:rsidRPr="003814E9">
              <w:rPr>
                <w:rFonts w:eastAsia="Calibri"/>
                <w:i w:val="0"/>
                <w:sz w:val="22"/>
                <w:szCs w:val="22"/>
              </w:rPr>
              <w:t xml:space="preserve">. 1 lit. c </w:t>
            </w:r>
            <w:proofErr w:type="spellStart"/>
            <w:r w:rsidRPr="003814E9">
              <w:rPr>
                <w:rFonts w:eastAsia="Calibri"/>
                <w:i w:val="0"/>
                <w:sz w:val="22"/>
                <w:szCs w:val="22"/>
              </w:rPr>
              <w:t>rozporządzenia</w:t>
            </w:r>
            <w:proofErr w:type="spellEnd"/>
            <w:r w:rsidRPr="003814E9">
              <w:rPr>
                <w:rFonts w:eastAsia="Calibri"/>
                <w:i w:val="0"/>
                <w:sz w:val="22"/>
                <w:szCs w:val="22"/>
              </w:rPr>
              <w:br/>
            </w:r>
            <w:proofErr w:type="spellStart"/>
            <w:r w:rsidRPr="003814E9">
              <w:rPr>
                <w:rFonts w:eastAsia="Calibri"/>
                <w:i w:val="0"/>
                <w:sz w:val="22"/>
                <w:szCs w:val="22"/>
              </w:rPr>
              <w:t>nr</w:t>
            </w:r>
            <w:proofErr w:type="spellEnd"/>
            <w:r w:rsidRPr="003814E9">
              <w:rPr>
                <w:rFonts w:eastAsia="Calibri"/>
                <w:i w:val="0"/>
                <w:sz w:val="22"/>
                <w:szCs w:val="22"/>
              </w:rPr>
              <w:t xml:space="preserve"> 1303/2013)</w:t>
            </w:r>
          </w:p>
        </w:tc>
        <w:tc>
          <w:tcPr>
            <w:tcW w:w="1317" w:type="dxa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59 375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59 375</w:t>
            </w:r>
          </w:p>
        </w:tc>
      </w:tr>
      <w:tr w:rsidR="00C420E9" w:rsidRPr="003814E9" w:rsidTr="00865814">
        <w:trPr>
          <w:trHeight w:val="737"/>
        </w:trPr>
        <w:tc>
          <w:tcPr>
            <w:tcW w:w="2711" w:type="dxa"/>
            <w:shd w:val="clear" w:color="auto" w:fill="F2F2F2"/>
          </w:tcPr>
          <w:p w:rsidR="00C420E9" w:rsidRPr="003814E9" w:rsidRDefault="00C420E9" w:rsidP="0086581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 w:val="0"/>
                <w:color w:val="00000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>Koszty</w:t>
            </w:r>
            <w:proofErr w:type="spellEnd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>bieżące</w:t>
            </w:r>
            <w:proofErr w:type="spellEnd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(art. 35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ust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. 1 lit. d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rozporządzenia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nr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 1303/2013)</w:t>
            </w:r>
          </w:p>
        </w:tc>
        <w:tc>
          <w:tcPr>
            <w:tcW w:w="1317" w:type="dxa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281 875</w:t>
            </w:r>
          </w:p>
        </w:tc>
        <w:tc>
          <w:tcPr>
            <w:tcW w:w="1082" w:type="dxa"/>
            <w:tcBorders>
              <w:tl2br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281 875</w:t>
            </w:r>
          </w:p>
        </w:tc>
      </w:tr>
      <w:tr w:rsidR="00C420E9" w:rsidRPr="003814E9" w:rsidTr="00865814">
        <w:trPr>
          <w:trHeight w:val="737"/>
        </w:trPr>
        <w:tc>
          <w:tcPr>
            <w:tcW w:w="2711" w:type="dxa"/>
            <w:shd w:val="clear" w:color="auto" w:fill="F2F2F2"/>
          </w:tcPr>
          <w:p w:rsidR="00C420E9" w:rsidRPr="003814E9" w:rsidRDefault="00C420E9" w:rsidP="0086581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 w:val="0"/>
                <w:color w:val="00000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>Aktywizacja</w:t>
            </w:r>
            <w:proofErr w:type="spellEnd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(art. 35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ust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. 1 lit. e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rozporządzenia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>nr</w:t>
            </w:r>
            <w:proofErr w:type="spellEnd"/>
            <w:r w:rsidRPr="003814E9">
              <w:rPr>
                <w:rFonts w:eastAsia="Calibri"/>
                <w:i w:val="0"/>
                <w:color w:val="000000"/>
                <w:sz w:val="22"/>
                <w:szCs w:val="22"/>
              </w:rPr>
              <w:t xml:space="preserve"> 1303/2013)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15 000</w:t>
            </w:r>
          </w:p>
        </w:tc>
        <w:tc>
          <w:tcPr>
            <w:tcW w:w="108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15 000</w:t>
            </w:r>
          </w:p>
        </w:tc>
      </w:tr>
      <w:tr w:rsidR="00C420E9" w:rsidRPr="003814E9" w:rsidTr="00865814">
        <w:trPr>
          <w:trHeight w:val="567"/>
        </w:trPr>
        <w:tc>
          <w:tcPr>
            <w:tcW w:w="2711" w:type="dxa"/>
            <w:shd w:val="clear" w:color="auto" w:fill="D5DCE4"/>
            <w:vAlign w:val="center"/>
          </w:tcPr>
          <w:p w:rsidR="00C420E9" w:rsidRPr="003814E9" w:rsidRDefault="00C420E9" w:rsidP="00865814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 w:val="0"/>
                <w:color w:val="000000"/>
                <w:sz w:val="22"/>
                <w:szCs w:val="22"/>
              </w:rPr>
            </w:pPr>
            <w:proofErr w:type="spellStart"/>
            <w:r w:rsidRPr="003814E9">
              <w:rPr>
                <w:rFonts w:eastAsia="Calibri"/>
                <w:b/>
                <w:bCs/>
                <w:i w:val="0"/>
                <w:color w:val="000000"/>
                <w:sz w:val="22"/>
                <w:szCs w:val="22"/>
              </w:rPr>
              <w:t>Razem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C420E9" w:rsidRPr="00655EC3" w:rsidRDefault="00C420E9" w:rsidP="00865814">
            <w:pPr>
              <w:spacing w:after="60" w:line="276" w:lineRule="auto"/>
              <w:jc w:val="center"/>
              <w:rPr>
                <w:rFonts w:eastAsia="Calibri"/>
                <w:b/>
                <w:i w:val="0"/>
                <w:sz w:val="22"/>
                <w:szCs w:val="22"/>
              </w:rPr>
            </w:pP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1 803 750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420E9" w:rsidRPr="00655EC3" w:rsidRDefault="00C420E9" w:rsidP="00865814">
            <w:pPr>
              <w:spacing w:after="60" w:line="276" w:lineRule="auto"/>
              <w:jc w:val="left"/>
              <w:rPr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420E9" w:rsidRPr="00655EC3" w:rsidRDefault="00C420E9" w:rsidP="00865814">
            <w:pPr>
              <w:spacing w:after="60" w:line="276" w:lineRule="auto"/>
              <w:rPr>
                <w:rFonts w:eastAsia="Calibri"/>
                <w:b/>
                <w:i w:val="0"/>
                <w:sz w:val="22"/>
                <w:szCs w:val="22"/>
              </w:rPr>
            </w:pPr>
            <w:r>
              <w:rPr>
                <w:rFonts w:eastAsia="Calibri"/>
                <w:b/>
                <w:i w:val="0"/>
                <w:sz w:val="22"/>
                <w:szCs w:val="22"/>
              </w:rPr>
              <w:t xml:space="preserve"> </w:t>
            </w:r>
            <w:r w:rsidRPr="00820301">
              <w:rPr>
                <w:rFonts w:eastAsia="Calibri"/>
                <w:b/>
                <w:i w:val="0"/>
                <w:color w:val="FF0000"/>
                <w:sz w:val="22"/>
                <w:szCs w:val="22"/>
              </w:rPr>
              <w:t>1 803 750</w:t>
            </w:r>
          </w:p>
        </w:tc>
      </w:tr>
    </w:tbl>
    <w:p w:rsidR="00C420E9" w:rsidRDefault="00C420E9"/>
    <w:sectPr w:rsidR="00C4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1"/>
    <w:rsid w:val="000F376F"/>
    <w:rsid w:val="009E0E21"/>
    <w:rsid w:val="00C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4705"/>
  <w15:chartTrackingRefBased/>
  <w15:docId w15:val="{2981AA18-B8A8-4A69-B7B5-E69EF210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E9"/>
    <w:pPr>
      <w:spacing w:after="0" w:line="360" w:lineRule="auto"/>
      <w:jc w:val="both"/>
    </w:pPr>
    <w:rPr>
      <w:rFonts w:ascii="Times New Roman" w:hAnsi="Times New Roman" w:cs="Times New Roman"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20E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dcterms:created xsi:type="dcterms:W3CDTF">2020-10-09T13:35:00Z</dcterms:created>
  <dcterms:modified xsi:type="dcterms:W3CDTF">2020-10-09T13:37:00Z</dcterms:modified>
</cp:coreProperties>
</file>